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rsol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Città Metropolitana di Roma Capital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