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sol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Città Metropolitana di Roma Capital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