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Arsol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Città Metropolitana di Roma Capital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